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12</w:t>
      </w:r>
      <w:r>
        <w:t xml:space="preserve"> </w:t>
      </w:r>
      <w:r>
        <w:t xml:space="preserve">dezembro</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9"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8"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5"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0"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pStyle w:val="FirstParagraph"/>
      </w:pPr>
      <w:r>
        <w:t xml:space="preserve">Logicamente devem ser, para o caso do metodo de regressão logística, variável categórica ~ variável numérica (</w:t>
      </w:r>
      <m:oMath>
        <m:r>
          <m:t>Y</m:t>
        </m:r>
        <m:r>
          <m:rPr>
            <m:sty m:val="p"/>
          </m:rPr>
          <m:t>∼</m:t>
        </m:r>
        <m:r>
          <m:t>X</m:t>
        </m:r>
      </m:oMath>
      <w:r>
        <w:t xml:space="preserve">).</w:t>
      </w:r>
      <w:r>
        <w:br/>
      </w:r>
      <w:r>
        <w:t xml:space="preserve">- Variável resposta (</w:t>
      </w:r>
      <m:oMath>
        <m:r>
          <m:t>Y</m:t>
        </m:r>
      </m:oMath>
      <w:r>
        <w:t xml:space="preserve">): variável categórica. </w:t>
      </w:r>
      <w:r>
        <w:t xml:space="preserve"> </w:t>
      </w:r>
      <w:r>
        <w:t xml:space="preserve">- Variável explicativa(</w:t>
      </w:r>
      <m:oMath>
        <m:r>
          <m:t>X</m:t>
        </m:r>
      </m:oMath>
      <w:r>
        <w:t xml:space="preserve">): variável numérica. </w:t>
      </w:r>
      <w:r>
        <w:t xml:space="preserve"> </w:t>
      </w:r>
      <w:r>
        <w:t xml:space="preserve">- 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pStyle w:val="FirstParagraph"/>
      </w:pPr>
      <w:r>
        <w:t xml:space="preserve">Formular as hipóteses serem respondidas pela inferição.</w:t>
      </w:r>
      <w:r>
        <w:br/>
      </w:r>
      <w:r>
        <w:t xml:space="preserve">Ex.:</w:t>
      </w:r>
      <w:r>
        <w:br/>
      </w:r>
      <m:oMath>
        <m:sSub>
          <m:e>
            <m:r>
              <m:t>H</m:t>
            </m:r>
          </m:e>
          <m:sub>
            <m:r>
              <m:t>0</m:t>
            </m:r>
          </m:sub>
        </m:sSub>
      </m:oMath>
      <w:r>
        <w:t xml:space="preserve">: Não há relação entre local de compra e desconto na compra.</w:t>
      </w:r>
      <w:r>
        <w:br/>
      </w: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4"/>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4"/>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5"/>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5"/>
        </w:numPr>
        <w:pStyle w:val="Compact"/>
      </w:pPr>
      <w:r>
        <w:t xml:space="preserve">Ao interpretar a analise é preciso ter em mente qual a categória usada como referência.</w:t>
      </w:r>
      <w:r>
        <w:br/>
      </w:r>
    </w:p>
    <w:p>
      <w:pPr>
        <w:numPr>
          <w:ilvl w:val="0"/>
          <w:numId w:val="1575"/>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8" w:name="checagem-de-pressupostos"/>
    <w:p>
      <w:pPr>
        <w:pStyle w:val="Heading5"/>
      </w:pPr>
      <w:r>
        <w:rPr>
          <w:rStyle w:val="SectionNumber"/>
        </w:rPr>
        <w:t xml:space="preserve">14.3.2.3.5</w:t>
      </w:r>
      <w:r>
        <w:tab/>
      </w:r>
      <w:r>
        <w:t xml:space="preserve">Checagem de pressupostos</w:t>
      </w:r>
    </w:p>
    <w:p>
      <w:pPr>
        <w:numPr>
          <w:ilvl w:val="0"/>
          <w:numId w:val="1576"/>
        </w:numPr>
        <w:pStyle w:val="Compact"/>
      </w:pPr>
      <w:r>
        <w:t xml:space="preserve">Checagem de pressupostos do modelo binário/binomial:</w:t>
      </w:r>
      <w:r>
        <w:br/>
      </w:r>
    </w:p>
    <w:p>
      <w:pPr>
        <w:numPr>
          <w:ilvl w:val="1"/>
          <w:numId w:val="1577"/>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77"/>
        </w:numPr>
        <w:pStyle w:val="Compact"/>
      </w:pPr>
      <w:r>
        <w:t xml:space="preserve">Indepêndencia das observações (sem medidas repetidas).</w:t>
      </w:r>
      <w:r>
        <w:br/>
      </w:r>
      <w:r>
        <w:t xml:space="preserve">Não tem medidas repetidas, nem medidas ao longo do tempo.</w:t>
      </w:r>
      <w:r>
        <w:br/>
      </w:r>
    </w:p>
    <w:p>
      <w:pPr>
        <w:numPr>
          <w:ilvl w:val="1"/>
          <w:numId w:val="1577"/>
        </w:numPr>
        <w:pStyle w:val="Compact"/>
      </w:pPr>
      <w:r>
        <w:t xml:space="preserve">Ausência de</w:t>
      </w:r>
      <w:r>
        <w:t xml:space="preserve"> </w:t>
      </w:r>
      <w:r>
        <w:rPr>
          <w:iCs/>
          <w:i/>
        </w:rPr>
        <w:t xml:space="preserve">outliers</w:t>
      </w:r>
      <w:r>
        <w:t xml:space="preserve">/Pontos de alavancagem (Testado no modelo).</w:t>
      </w:r>
      <w:r>
        <w:br/>
      </w:r>
    </w:p>
    <w:p>
      <w:pPr>
        <w:numPr>
          <w:ilvl w:val="1"/>
          <w:numId w:val="1578"/>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78"/>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79"/>
        </w:numPr>
        <w:pStyle w:val="Compact"/>
      </w:pPr>
      <w:r>
        <w:t xml:space="preserve">O modelo é uma variável com o modelo de regressão logística salvo dentro dela (será visto no proximo tópico).</w:t>
      </w:r>
      <w:r>
        <w:br/>
      </w:r>
    </w:p>
    <w:p>
      <w:pPr>
        <w:numPr>
          <w:ilvl w:val="2"/>
          <w:numId w:val="1579"/>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78"/>
        </w:numPr>
        <w:pStyle w:val="Compact"/>
      </w:pPr>
      <w:r>
        <w:t xml:space="preserve">Verificar os residos padronizado:</w:t>
      </w:r>
      <w:r>
        <w:br/>
      </w:r>
    </w:p>
    <w:p>
      <w:pPr>
        <w:numPr>
          <w:ilvl w:val="2"/>
          <w:numId w:val="1580"/>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0"/>
        </w:numPr>
        <w:pStyle w:val="Compact"/>
      </w:pPr>
      <w:r>
        <w:t xml:space="preserve">Se o limites estiverem fora dessa faixa, existem</w:t>
      </w:r>
      <w:r>
        <w:t xml:space="preserve"> </w:t>
      </w:r>
      <w:r>
        <w:rPr>
          <w:iCs/>
          <w:i/>
        </w:rPr>
        <w:t xml:space="preserve">outliers</w:t>
      </w:r>
      <w:r>
        <w:t xml:space="preserve">.</w:t>
      </w:r>
      <w:r>
        <w:br/>
      </w:r>
    </w:p>
    <w:p>
      <w:pPr>
        <w:numPr>
          <w:ilvl w:val="2"/>
          <w:numId w:val="1580"/>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1"/>
        </w:numPr>
        <w:pStyle w:val="Compact"/>
      </w:pPr>
      <w:r>
        <w:t xml:space="preserve">Ausência de multicolinearidade.</w:t>
      </w:r>
      <w:r>
        <w:br/>
      </w:r>
    </w:p>
    <w:p>
      <w:pPr>
        <w:numPr>
          <w:ilvl w:val="1"/>
          <w:numId w:val="1582"/>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2"/>
        </w:numPr>
        <w:pStyle w:val="Compact"/>
      </w:pPr>
      <w:r>
        <w:t xml:space="preserve">Se a relação entre duas ou mais variáveis independentes for muito alta, torna a análise redundante.</w:t>
      </w:r>
      <w:r>
        <w:br/>
      </w:r>
    </w:p>
    <w:p>
      <w:pPr>
        <w:numPr>
          <w:ilvl w:val="1"/>
          <w:numId w:val="1582"/>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2"/>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3"/>
        </w:numPr>
        <w:pStyle w:val="Compact"/>
      </w:pPr>
      <w:r>
        <w:t xml:space="preserve">Checagem de pressupostos do modelo ordinal:</w:t>
      </w:r>
      <w:r>
        <w:br/>
      </w:r>
    </w:p>
    <w:p>
      <w:pPr>
        <w:numPr>
          <w:ilvl w:val="0"/>
          <w:numId w:val="1583"/>
        </w:numPr>
        <w:pStyle w:val="Compact"/>
      </w:pPr>
      <w:r>
        <w:t xml:space="preserve">Checagem de pressupostos do modelo multinomial:</w:t>
      </w:r>
      <w:r>
        <w:br/>
      </w:r>
    </w:p>
    <w:p>
      <w:r>
        <w:br w:type="page"/>
      </w:r>
    </w:p>
    <w:bookmarkEnd w:id="568"/>
    <w:bookmarkStart w:id="569" w:name="modelagem"/>
    <w:p>
      <w:pPr>
        <w:pStyle w:val="Heading5"/>
      </w:pPr>
      <w:r>
        <w:rPr>
          <w:rStyle w:val="SectionNumber"/>
        </w:rPr>
        <w:t xml:space="preserve">14.3.2.3.6</w:t>
      </w:r>
      <w:r>
        <w:tab/>
      </w:r>
      <w:r>
        <w:t xml:space="preserve">Modelagem</w:t>
      </w:r>
    </w:p>
    <w:p>
      <w:pPr>
        <w:numPr>
          <w:ilvl w:val="0"/>
          <w:numId w:val="1584"/>
        </w:numPr>
        <w:pStyle w:val="Compact"/>
      </w:pPr>
      <w:r>
        <w:t xml:space="preserve">Binomial:</w:t>
      </w:r>
      <w:r>
        <w:br/>
      </w:r>
    </w:p>
    <w:p>
      <w:pPr>
        <w:numPr>
          <w:ilvl w:val="1"/>
          <w:numId w:val="1585"/>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85"/>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86"/>
        </w:numPr>
        <w:pStyle w:val="Compact"/>
      </w:pPr>
      <w:r>
        <w:rPr>
          <w:rStyle w:val="VerbatimChar"/>
        </w:rPr>
        <w:t xml:space="preserve">modelo_glm</w:t>
      </w:r>
      <w:r>
        <w:t xml:space="preserve"> </w:t>
      </w:r>
      <w:r>
        <w:t xml:space="preserve">é a variável onde será armazenada o modelo;</w:t>
      </w:r>
      <w:r>
        <w:br/>
      </w:r>
    </w:p>
    <w:p>
      <w:pPr>
        <w:numPr>
          <w:ilvl w:val="2"/>
          <w:numId w:val="1586"/>
        </w:numPr>
        <w:pStyle w:val="Compact"/>
      </w:pPr>
      <w:r>
        <w:rPr>
          <w:rStyle w:val="VerbatimChar"/>
        </w:rPr>
        <w:t xml:space="preserve">glm()</w:t>
      </w:r>
      <w:r>
        <w:t xml:space="preserve"> </w:t>
      </w:r>
      <w:r>
        <w:t xml:space="preserve">é a função de modelos lineares generalizados;</w:t>
      </w:r>
      <w:r>
        <w:br/>
      </w:r>
    </w:p>
    <w:p>
      <w:pPr>
        <w:numPr>
          <w:ilvl w:val="2"/>
          <w:numId w:val="1586"/>
        </w:numPr>
        <w:pStyle w:val="Compact"/>
      </w:pPr>
      <m:oMath>
        <m:r>
          <m:t>Y</m:t>
        </m:r>
      </m:oMath>
      <w:r>
        <w:t xml:space="preserve"> </w:t>
      </w:r>
      <w:r>
        <w:t xml:space="preserve">é a variável dependente (categórica binomial, variável resposta);</w:t>
      </w:r>
      <w:r>
        <w:br/>
      </w:r>
    </w:p>
    <w:p>
      <w:pPr>
        <w:numPr>
          <w:ilvl w:val="2"/>
          <w:numId w:val="1586"/>
        </w:numPr>
        <w:pStyle w:val="Compact"/>
      </w:pPr>
      <m:oMath>
        <m:sSub>
          <m:e>
            <m:r>
              <m:t>X</m:t>
            </m:r>
          </m:e>
          <m:sub>
            <m:r>
              <m:t>n</m:t>
            </m:r>
          </m:sub>
        </m:sSub>
      </m:oMath>
      <w:r>
        <w:t xml:space="preserve"> </w:t>
      </w:r>
      <w:r>
        <w:t xml:space="preserve">são as variáveis independentes (numéricas, variáveis explicação);</w:t>
      </w:r>
      <w:r>
        <w:br/>
      </w:r>
    </w:p>
    <w:p>
      <w:pPr>
        <w:numPr>
          <w:ilvl w:val="2"/>
          <w:numId w:val="1586"/>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86"/>
        </w:numPr>
        <w:pStyle w:val="Compact"/>
      </w:pPr>
      <w:r>
        <w:rPr>
          <w:iCs/>
          <w:i/>
        </w:rPr>
        <w:t xml:space="preserve">data</w:t>
      </w:r>
      <w:r>
        <w:t xml:space="preserve"> </w:t>
      </w:r>
      <w:r>
        <w:t xml:space="preserve">é o banco de dados.</w:t>
      </w:r>
      <w:r>
        <w:br/>
      </w:r>
    </w:p>
    <w:p>
      <w:pPr>
        <w:numPr>
          <w:ilvl w:val="1"/>
          <w:numId w:val="1585"/>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87"/>
        </w:numPr>
        <w:pStyle w:val="Compact"/>
      </w:pPr>
      <m:oMath>
        <m:r>
          <m:t>x</m:t>
        </m:r>
      </m:oMath>
      <w:r>
        <w:t xml:space="preserve"> </w:t>
      </w:r>
      <w:r>
        <w:t xml:space="preserve">é o valor da variável numérica.</w:t>
      </w:r>
      <w:r>
        <w:br/>
      </w:r>
    </w:p>
    <w:p>
      <w:pPr>
        <w:numPr>
          <w:ilvl w:val="2"/>
          <w:numId w:val="1587"/>
        </w:numPr>
        <w:pStyle w:val="Compact"/>
      </w:pPr>
      <w:r>
        <w:t xml:space="preserve">É basicamente a equação da reta.</w:t>
      </w:r>
      <w:r>
        <w:br/>
      </w:r>
    </w:p>
    <w:p>
      <w:pPr>
        <w:numPr>
          <w:ilvl w:val="2"/>
          <w:numId w:val="1587"/>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87"/>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pPr>
        <w:numPr>
          <w:ilvl w:val="0"/>
          <w:numId w:val="1584"/>
        </w:numPr>
        <w:pStyle w:val="Compact"/>
      </w:pPr>
      <w:r>
        <w:t xml:space="preserve">Ordinal:</w:t>
      </w:r>
      <w:r>
        <w:br/>
      </w:r>
    </w:p>
    <w:p>
      <w:pPr>
        <w:numPr>
          <w:ilvl w:val="0"/>
          <w:numId w:val="1584"/>
        </w:numPr>
        <w:pStyle w:val="Compact"/>
      </w:pPr>
      <w:r>
        <w:t xml:space="preserve">Multinomial:</w:t>
      </w:r>
      <w:r>
        <w:br/>
      </w:r>
    </w:p>
    <w:p>
      <w:r>
        <w:br w:type="page"/>
      </w:r>
    </w:p>
    <w:bookmarkEnd w:id="569"/>
    <w:bookmarkEnd w:id="570"/>
    <w:bookmarkStart w:id="571"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88"/>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89"/>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90"/>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591"/>
        </w:numPr>
        <w:pStyle w:val="Compact"/>
      </w:pPr>
      <w:r>
        <w:t xml:space="preserve">Análise do</w:t>
      </w:r>
      <w:r>
        <w:t xml:space="preserve"> </w:t>
      </w:r>
      <w:r>
        <w:rPr>
          <w:iCs/>
          <w:i/>
        </w:rPr>
        <w:t xml:space="preserve">Odds</w:t>
      </w:r>
      <w:r>
        <w:t xml:space="preserve">:</w:t>
      </w:r>
      <w:r>
        <w:br/>
      </w:r>
    </w:p>
    <w:p>
      <w:pPr>
        <w:numPr>
          <w:ilvl w:val="1"/>
          <w:numId w:val="1592"/>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92"/>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92"/>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91"/>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593"/>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593"/>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593"/>
        </w:numPr>
        <w:pStyle w:val="Compact"/>
      </w:pPr>
      <w:r>
        <w:t xml:space="preserve">Conclusão:</w:t>
      </w:r>
      <w:r>
        <w:br/>
      </w:r>
    </w:p>
    <w:p>
      <w:pPr>
        <w:numPr>
          <w:ilvl w:val="2"/>
          <w:numId w:val="1594"/>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594"/>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pPr>
        <w:numPr>
          <w:ilvl w:val="0"/>
          <w:numId w:val="1591"/>
        </w:numPr>
        <w:pStyle w:val="Compact"/>
      </w:pPr>
      <w:r>
        <w:t xml:space="preserve">Análise do modelo a partir da razão de chance (</w:t>
      </w:r>
      <w:r>
        <w:rPr>
          <w:bCs/>
          <w:b/>
        </w:rPr>
        <w:t xml:space="preserve">OR</w:t>
      </w:r>
      <w:r>
        <w:t xml:space="preserve">):</w:t>
      </w:r>
      <w:r>
        <w:br/>
      </w:r>
    </w:p>
    <w:bookmarkEnd w:id="571"/>
    <w:bookmarkStart w:id="572" w:name="prevendo-as-probabilidades"/>
    <w:p>
      <w:pPr>
        <w:pStyle w:val="Heading4"/>
      </w:pPr>
      <w:r>
        <w:rPr>
          <w:rStyle w:val="SectionNumber"/>
        </w:rPr>
        <w:t xml:space="preserve">14.3.2.5</w:t>
      </w:r>
      <w:r>
        <w:tab/>
      </w:r>
      <w:r>
        <w:t xml:space="preserve">Prevendo as probabilidades</w:t>
      </w:r>
    </w:p>
    <w:p>
      <w:r>
        <w:br w:type="page"/>
      </w:r>
    </w:p>
    <w:bookmarkEnd w:id="572"/>
    <w:bookmarkStart w:id="573" w:name="avaliando-a-significância-dos-parâmetros"/>
    <w:p>
      <w:pPr>
        <w:pStyle w:val="Heading4"/>
      </w:pPr>
      <w:r>
        <w:rPr>
          <w:rStyle w:val="SectionNumber"/>
        </w:rPr>
        <w:t xml:space="preserve">14.3.2.6</w:t>
      </w:r>
      <w:r>
        <w:tab/>
      </w:r>
      <w:r>
        <w:t xml:space="preserve">Avaliando a significância dos parâmetros</w:t>
      </w:r>
    </w:p>
    <w:p>
      <w:pPr>
        <w:numPr>
          <w:ilvl w:val="0"/>
          <w:numId w:val="1595"/>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595"/>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595"/>
        </w:numPr>
      </w:pPr>
      <w:r>
        <w:t xml:space="preserve">Padronizando os coeficientes do modelo:</w:t>
      </w:r>
      <w:r>
        <w:br/>
      </w:r>
    </w:p>
    <w:p>
      <w:pPr>
        <w:numPr>
          <w:ilvl w:val="1"/>
          <w:numId w:val="1596"/>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596"/>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595"/>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597"/>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3"/>
    <w:bookmarkStart w:id="574" w:name="avaliando-a-acurácia-do-modelo"/>
    <w:p>
      <w:pPr>
        <w:pStyle w:val="Heading4"/>
      </w:pPr>
      <w:r>
        <w:rPr>
          <w:rStyle w:val="SectionNumber"/>
        </w:rPr>
        <w:t xml:space="preserve">14.3.2.7</w:t>
      </w:r>
      <w:r>
        <w:tab/>
      </w:r>
      <w:r>
        <w:t xml:space="preserve">Avaliando a acurácia do modelo</w:t>
      </w:r>
    </w:p>
    <w:p>
      <w:pPr>
        <w:numPr>
          <w:ilvl w:val="0"/>
          <w:numId w:val="1598"/>
        </w:numPr>
        <w:pStyle w:val="Compact"/>
      </w:pPr>
      <w:r>
        <w:t xml:space="preserve">Acurácia é a proporção de predições corretas do modelo.</w:t>
      </w:r>
      <w:r>
        <w:br/>
      </w:r>
    </w:p>
    <w:p>
      <w:pPr>
        <w:numPr>
          <w:ilvl w:val="0"/>
          <w:numId w:val="1598"/>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599"/>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00"/>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599"/>
        </w:numPr>
        <w:pStyle w:val="Compact"/>
      </w:pPr>
      <w:r>
        <w:t xml:space="preserve">Matriz de confusão</w:t>
      </w:r>
    </w:p>
    <w:p>
      <w:pPr>
        <w:numPr>
          <w:ilvl w:val="1"/>
          <w:numId w:val="1601"/>
        </w:numPr>
        <w:pStyle w:val="Compact"/>
      </w:pPr>
      <w:r>
        <w:t xml:space="preserve">Mostra o número de classificações corretas (em cada linha) vesus o número de classificações preditivas (em cada coluna) para cada nível de variável sob análise.</w:t>
      </w:r>
      <w:r>
        <w:br/>
      </w:r>
    </w:p>
    <w:p>
      <w:pPr>
        <w:numPr>
          <w:ilvl w:val="1"/>
          <w:numId w:val="1601"/>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02"/>
        </w:numPr>
        <w:pStyle w:val="Compact"/>
      </w:pPr>
      <w:r>
        <w:t xml:space="preserve">Análise da matriz de confusão:</w:t>
      </w:r>
      <w:r>
        <w:br/>
      </w:r>
    </w:p>
    <w:p>
      <w:pPr>
        <w:numPr>
          <w:ilvl w:val="1"/>
          <w:numId w:val="1603"/>
        </w:numPr>
        <w:pStyle w:val="Compact"/>
      </w:pPr>
      <w:r>
        <w:t xml:space="preserve">Classificou 6 vezes filial A como B (erro).</w:t>
      </w:r>
      <w:r>
        <w:br/>
      </w:r>
    </w:p>
    <w:p>
      <w:pPr>
        <w:numPr>
          <w:ilvl w:val="1"/>
          <w:numId w:val="1603"/>
        </w:numPr>
        <w:pStyle w:val="Compact"/>
      </w:pPr>
      <w:r>
        <w:t xml:space="preserve">Classificou 12 vezes filial B como B (acerto).</w:t>
      </w:r>
      <w:r>
        <w:br/>
      </w:r>
    </w:p>
    <w:p>
      <w:pPr>
        <w:numPr>
          <w:ilvl w:val="1"/>
          <w:numId w:val="1603"/>
        </w:numPr>
        <w:pStyle w:val="Compact"/>
      </w:pPr>
      <w:r>
        <w:t xml:space="preserve">Classificou 5 vezes filial C como B (erro).</w:t>
      </w:r>
      <w:r>
        <w:br/>
      </w:r>
    </w:p>
    <w:p>
      <w:pPr>
        <w:numPr>
          <w:ilvl w:val="0"/>
          <w:numId w:val="1602"/>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04"/>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4"/>
    <w:bookmarkEnd w:id="575"/>
    <w:bookmarkStart w:id="576"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6"/>
    <w:bookmarkStart w:id="577"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7"/>
    <w:bookmarkEnd w:id="578"/>
    <w:bookmarkEnd w:id="579"/>
    <w:bookmarkStart w:id="580"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0"/>
    <w:bookmarkStart w:id="584" w:name="referências"/>
    <w:p>
      <w:pPr>
        <w:pStyle w:val="Heading1"/>
      </w:pPr>
      <w:r>
        <w:t xml:space="preserve">REFERÊNCIAS</w:t>
      </w:r>
    </w:p>
    <w:bookmarkStart w:id="583" w:name="refs"/>
    <w:bookmarkStart w:id="582" w:name="ref-ULR"/>
    <w:p>
      <w:pPr>
        <w:pStyle w:val="Bibliography"/>
      </w:pPr>
      <w:r>
        <w:t xml:space="preserve">ALCOFORADO, L. F.</w:t>
      </w:r>
      <w:r>
        <w:t xml:space="preserve"> </w:t>
      </w:r>
      <w:hyperlink r:id="rId581">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1"/>
  </w:num>
  <w:num w:numId="1579">
    <w:abstractNumId w:val="991"/>
  </w:num>
  <w:num w:numId="1580">
    <w:abstractNumId w:val="991"/>
  </w:num>
  <w:num w:numId="15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2023-12-12T13:05:58Z</dcterms:created>
  <dcterms:modified xsi:type="dcterms:W3CDTF">2023-12-12T13:05:58Z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12 dezembro 2023</vt:lpwstr>
  </property>
  <property fmtid="{D5CDD505-2E9C-101B-9397-08002B2CF9AE}" pid="5" name="output">
    <vt:lpwstr/>
  </property>
  <property fmtid="{D5CDD505-2E9C-101B-9397-08002B2CF9AE}" pid="6" name="subtitle">
    <vt:lpwstr>Estudo dirigido de linguagem R</vt:lpwstr>
  </property>
</Properties>
</file>